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83E" w:rsidRDefault="001F4223">
      <w:pPr>
        <w:spacing w:before="320" w:after="180"/>
        <w:jc w:val="center"/>
      </w:pPr>
      <w:r>
        <w:rPr>
          <w:b/>
          <w:bCs/>
          <w:color w:val="1F3864"/>
          <w:sz w:val="28"/>
          <w:szCs w:val="28"/>
        </w:rPr>
        <w:t>СЕМІНАРСЬКЕ ЗАНЯТТЯ 3</w:t>
      </w:r>
    </w:p>
    <w:p w:rsidR="000E583E" w:rsidRDefault="001F4223">
      <w:pPr>
        <w:spacing w:after="300"/>
        <w:jc w:val="center"/>
      </w:pPr>
      <w:r>
        <w:rPr>
          <w:b/>
          <w:bCs/>
          <w:sz w:val="26"/>
          <w:szCs w:val="26"/>
        </w:rPr>
        <w:t>Методи дослідження та збору інформації для академічного письма. Робота з джерелами, зокрема з використанням інструментів ШІ</w:t>
      </w:r>
    </w:p>
    <w:tbl>
      <w:tblPr>
        <w:tblW w:w="9700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9"/>
        <w:gridCol w:w="7841"/>
      </w:tblGrid>
      <w:tr w:rsidR="000E583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6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4 год. практичних (Змістовий модуль 1, Тема 3)</w:t>
            </w:r>
          </w:p>
        </w:tc>
      </w:tr>
      <w:tr w:rsidR="000E583E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Форма проведення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семінар-практикум: пошук і систематизація джерел за темою власного дослідження з використанням </w:t>
            </w:r>
            <w:proofErr w:type="spellStart"/>
            <w:r>
              <w:rPr>
                <w:sz w:val="24"/>
                <w:szCs w:val="24"/>
              </w:rPr>
              <w:t>наукометричних</w:t>
            </w:r>
            <w:proofErr w:type="spellEnd"/>
            <w:r>
              <w:rPr>
                <w:sz w:val="24"/>
                <w:szCs w:val="24"/>
              </w:rPr>
              <w:t xml:space="preserve"> баз даних, </w:t>
            </w:r>
            <w:proofErr w:type="spellStart"/>
            <w:r>
              <w:rPr>
                <w:sz w:val="24"/>
                <w:szCs w:val="24"/>
              </w:rPr>
              <w:t>репозитаріїв</w:t>
            </w:r>
            <w:proofErr w:type="spellEnd"/>
            <w:r>
              <w:rPr>
                <w:sz w:val="24"/>
                <w:szCs w:val="24"/>
              </w:rPr>
              <w:t xml:space="preserve"> та інструментів ШІ</w:t>
            </w:r>
          </w:p>
        </w:tc>
      </w:tr>
      <w:tr w:rsidR="000E583E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Мета заняття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закріпити знання про класифікацію джерел, відкритий доступ і </w:t>
            </w:r>
            <w:proofErr w:type="spellStart"/>
            <w:r>
              <w:rPr>
                <w:sz w:val="24"/>
                <w:szCs w:val="24"/>
              </w:rPr>
              <w:t>наукометричні</w:t>
            </w:r>
            <w:proofErr w:type="spellEnd"/>
            <w:r>
              <w:rPr>
                <w:sz w:val="24"/>
                <w:szCs w:val="24"/>
              </w:rPr>
              <w:t xml:space="preserve"> інструменти; сформувати практичні навички пошуку, перевірки та систематизації наукової інформації традиційними методами та за допомогою ШІ; розвинути навички критичної оцінки результатів </w:t>
            </w:r>
            <w:proofErr w:type="spellStart"/>
            <w:r>
              <w:rPr>
                <w:sz w:val="24"/>
                <w:szCs w:val="24"/>
              </w:rPr>
              <w:t>ШІ-пошуку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0E583E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Форма контролю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перевірка заповненої таблиці пошуку, обговорення результатів, розв'язання кейсів, тестовий контроль.</w:t>
            </w:r>
          </w:p>
        </w:tc>
      </w:tr>
    </w:tbl>
    <w:p w:rsidR="000E583E" w:rsidRDefault="000E583E"/>
    <w:p w:rsidR="000E583E" w:rsidRDefault="001F4223">
      <w:pPr>
        <w:spacing w:before="280" w:after="140"/>
      </w:pPr>
      <w:r>
        <w:rPr>
          <w:b/>
          <w:bCs/>
          <w:color w:val="2F5496"/>
          <w:sz w:val="25"/>
          <w:szCs w:val="25"/>
        </w:rPr>
        <w:t>3. Практична частина: пошук і систематизація джерел за темою дослідження</w:t>
      </w:r>
    </w:p>
    <w:p w:rsidR="000E583E" w:rsidRDefault="001F4223">
      <w:pPr>
        <w:spacing w:before="180" w:after="90"/>
      </w:pPr>
      <w:r>
        <w:rPr>
          <w:b/>
          <w:bCs/>
          <w:i/>
          <w:iCs/>
          <w:sz w:val="23"/>
          <w:szCs w:val="23"/>
        </w:rPr>
        <w:t>Завдання 1. Пошук джерел за темою дослідження</w:t>
      </w:r>
    </w:p>
    <w:p w:rsidR="000E583E" w:rsidRDefault="001F4223">
      <w:pPr>
        <w:spacing w:after="16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Оберіть тему дослідження зі списку в кінці цього документа. Користуючись повнотекстовими та реферативними базами даних, </w:t>
      </w:r>
      <w:proofErr w:type="spellStart"/>
      <w:r>
        <w:rPr>
          <w:sz w:val="24"/>
          <w:szCs w:val="24"/>
        </w:rPr>
        <w:t>репозитаріями</w:t>
      </w:r>
      <w:proofErr w:type="spellEnd"/>
      <w:r>
        <w:rPr>
          <w:sz w:val="24"/>
          <w:szCs w:val="24"/>
        </w:rPr>
        <w:t xml:space="preserve"> й інструментами ШІ, здійсніть пошук інформації за обраною темою. Для кожного інструменту зафіксуйте щонайменше 2 знайдені джерела (автор, назва, рік, посилання) у таблиці за зразком:</w:t>
      </w:r>
    </w:p>
    <w:p w:rsidR="00C46890" w:rsidRDefault="00C46890">
      <w:pPr>
        <w:spacing w:after="160" w:line="288" w:lineRule="auto"/>
        <w:jc w:val="both"/>
        <w:rPr>
          <w:sz w:val="24"/>
          <w:szCs w:val="24"/>
        </w:rPr>
      </w:pPr>
    </w:p>
    <w:p w:rsidR="00C46890" w:rsidRDefault="00C46890">
      <w:pPr>
        <w:spacing w:after="160" w:line="288" w:lineRule="auto"/>
        <w:jc w:val="both"/>
        <w:rPr>
          <w:b/>
          <w:sz w:val="24"/>
          <w:szCs w:val="24"/>
        </w:rPr>
      </w:pPr>
      <w:r w:rsidRPr="00C46890">
        <w:rPr>
          <w:b/>
          <w:sz w:val="24"/>
          <w:szCs w:val="24"/>
        </w:rPr>
        <w:t>ТЕМА:</w:t>
      </w:r>
      <w:r>
        <w:rPr>
          <w:b/>
          <w:sz w:val="24"/>
          <w:szCs w:val="24"/>
        </w:rPr>
        <w:t>_______________________________________________________________________</w:t>
      </w:r>
    </w:p>
    <w:p w:rsidR="00C46890" w:rsidRPr="00C46890" w:rsidRDefault="00C46890">
      <w:pPr>
        <w:spacing w:after="160" w:line="288" w:lineRule="auto"/>
        <w:jc w:val="both"/>
        <w:rPr>
          <w:b/>
        </w:rPr>
      </w:pPr>
      <w:bookmarkStart w:id="0" w:name="_GoBack"/>
      <w:bookmarkEnd w:id="0"/>
    </w:p>
    <w:tbl>
      <w:tblPr>
        <w:tblW w:w="970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2"/>
        <w:gridCol w:w="2248"/>
        <w:gridCol w:w="4788"/>
        <w:gridCol w:w="2222"/>
      </w:tblGrid>
      <w:tr w:rsidR="000E583E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№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Розділ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Інструмент пошуку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color w:val="FFFFFF"/>
              </w:rPr>
              <w:t>Знайдені джерела</w:t>
            </w:r>
          </w:p>
        </w:tc>
      </w:tr>
      <w:tr w:rsidR="000E583E"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Повнотекстові бази даних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BASE (base-search.net)</w:t>
            </w:r>
          </w:p>
          <w:p w:rsidR="000E583E" w:rsidRDefault="001F4223">
            <w:pPr>
              <w:spacing w:after="160" w:line="288" w:lineRule="auto"/>
              <w:jc w:val="both"/>
            </w:pPr>
            <w:proofErr w:type="spellStart"/>
            <w:r>
              <w:rPr>
                <w:sz w:val="24"/>
                <w:szCs w:val="24"/>
              </w:rPr>
              <w:t>Google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Scholar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scholar.google.com.ua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DOAJ (doaj.org)</w:t>
            </w:r>
          </w:p>
        </w:tc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40331E">
            <w:pPr>
              <w:spacing w:after="160" w:line="288" w:lineRule="auto"/>
              <w:jc w:val="both"/>
            </w:pPr>
            <w:r>
              <w:t>1.</w:t>
            </w:r>
          </w:p>
          <w:p w:rsidR="0040331E" w:rsidRDefault="0040331E">
            <w:pPr>
              <w:spacing w:after="160" w:line="288" w:lineRule="auto"/>
              <w:jc w:val="both"/>
            </w:pPr>
            <w:r>
              <w:t>2.</w:t>
            </w:r>
          </w:p>
          <w:p w:rsidR="0040331E" w:rsidRDefault="0040331E">
            <w:pPr>
              <w:spacing w:after="160" w:line="288" w:lineRule="auto"/>
              <w:jc w:val="both"/>
            </w:pPr>
            <w:r>
              <w:t>3.</w:t>
            </w:r>
          </w:p>
        </w:tc>
      </w:tr>
      <w:tr w:rsidR="000E583E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Реферативні бази </w:t>
            </w:r>
            <w:r>
              <w:rPr>
                <w:b/>
                <w:bCs/>
                <w:sz w:val="24"/>
                <w:szCs w:val="24"/>
              </w:rPr>
              <w:lastRenderedPageBreak/>
              <w:t>даних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lastRenderedPageBreak/>
              <w:t>Україніка наукова</w:t>
            </w:r>
          </w:p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lastRenderedPageBreak/>
              <w:t>Наукова періодика України (irbis-</w:t>
            </w:r>
            <w:proofErr w:type="spellStart"/>
            <w:r>
              <w:rPr>
                <w:sz w:val="24"/>
                <w:szCs w:val="24"/>
              </w:rPr>
              <w:t>nbuv.gov.ua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40331E">
            <w:pPr>
              <w:spacing w:after="160" w:line="288" w:lineRule="auto"/>
              <w:jc w:val="both"/>
            </w:pPr>
            <w:r>
              <w:lastRenderedPageBreak/>
              <w:t>1.</w:t>
            </w:r>
          </w:p>
          <w:p w:rsidR="0040331E" w:rsidRDefault="0040331E">
            <w:pPr>
              <w:spacing w:after="160" w:line="288" w:lineRule="auto"/>
              <w:jc w:val="both"/>
            </w:pPr>
            <w:r>
              <w:lastRenderedPageBreak/>
              <w:t>2.</w:t>
            </w:r>
          </w:p>
        </w:tc>
      </w:tr>
      <w:tr w:rsidR="000E583E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proofErr w:type="spellStart"/>
            <w:r>
              <w:rPr>
                <w:b/>
                <w:bCs/>
                <w:sz w:val="24"/>
                <w:szCs w:val="24"/>
              </w:rPr>
              <w:t>Репозитарії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 xml:space="preserve">Інституційний </w:t>
            </w:r>
            <w:proofErr w:type="spellStart"/>
            <w:r>
              <w:rPr>
                <w:sz w:val="24"/>
                <w:szCs w:val="24"/>
              </w:rPr>
              <w:t>репозитарій</w:t>
            </w:r>
            <w:proofErr w:type="spellEnd"/>
            <w:r>
              <w:rPr>
                <w:sz w:val="24"/>
                <w:szCs w:val="24"/>
              </w:rPr>
              <w:t xml:space="preserve"> закладу освіти (свого чи іншого аграрного ЗВО)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40331E">
            <w:pPr>
              <w:spacing w:after="160" w:line="288" w:lineRule="auto"/>
              <w:jc w:val="both"/>
            </w:pPr>
            <w:r>
              <w:t>1.</w:t>
            </w:r>
          </w:p>
          <w:p w:rsidR="0040331E" w:rsidRDefault="0040331E">
            <w:pPr>
              <w:spacing w:after="160" w:line="288" w:lineRule="auto"/>
              <w:jc w:val="both"/>
            </w:pPr>
            <w:r>
              <w:t>2.</w:t>
            </w:r>
          </w:p>
        </w:tc>
      </w:tr>
      <w:tr w:rsidR="000E583E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Інструменти ШІ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1F4223">
            <w:pPr>
              <w:spacing w:after="160" w:line="288" w:lineRule="auto"/>
              <w:jc w:val="both"/>
            </w:pPr>
            <w:proofErr w:type="spellStart"/>
            <w:r>
              <w:rPr>
                <w:sz w:val="24"/>
                <w:szCs w:val="24"/>
              </w:rPr>
              <w:t>Semantic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Scholar</w:t>
            </w:r>
            <w:proofErr w:type="spellEnd"/>
          </w:p>
          <w:p w:rsidR="000E583E" w:rsidRDefault="001F4223">
            <w:pPr>
              <w:spacing w:after="160" w:line="288" w:lineRule="auto"/>
              <w:jc w:val="both"/>
            </w:pPr>
            <w:proofErr w:type="spellStart"/>
            <w:r>
              <w:rPr>
                <w:sz w:val="24"/>
                <w:szCs w:val="24"/>
              </w:rPr>
              <w:t>Consensus</w:t>
            </w:r>
            <w:proofErr w:type="spellEnd"/>
            <w:r>
              <w:rPr>
                <w:sz w:val="24"/>
                <w:szCs w:val="24"/>
              </w:rPr>
              <w:t xml:space="preserve"> або </w:t>
            </w:r>
            <w:proofErr w:type="spellStart"/>
            <w:r>
              <w:rPr>
                <w:sz w:val="24"/>
                <w:szCs w:val="24"/>
              </w:rPr>
              <w:t>Elicit</w:t>
            </w:r>
            <w:proofErr w:type="spellEnd"/>
            <w:r>
              <w:rPr>
                <w:sz w:val="24"/>
                <w:szCs w:val="24"/>
              </w:rPr>
              <w:t xml:space="preserve"> (за вибором)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E583E" w:rsidRDefault="0040331E">
            <w:pPr>
              <w:spacing w:after="160" w:line="288" w:lineRule="auto"/>
              <w:jc w:val="both"/>
            </w:pPr>
            <w:r>
              <w:t>1.</w:t>
            </w:r>
          </w:p>
          <w:p w:rsidR="0040331E" w:rsidRDefault="0040331E">
            <w:pPr>
              <w:spacing w:after="160" w:line="288" w:lineRule="auto"/>
              <w:jc w:val="both"/>
            </w:pPr>
            <w:r>
              <w:t xml:space="preserve">2. </w:t>
            </w:r>
          </w:p>
        </w:tc>
      </w:tr>
    </w:tbl>
    <w:p w:rsidR="000E583E" w:rsidRDefault="000E583E"/>
    <w:p w:rsidR="000E583E" w:rsidRDefault="001F4223">
      <w:pPr>
        <w:spacing w:before="280" w:after="140"/>
      </w:pPr>
      <w:r>
        <w:rPr>
          <w:b/>
          <w:bCs/>
          <w:color w:val="2F5496"/>
          <w:sz w:val="25"/>
          <w:szCs w:val="25"/>
        </w:rPr>
        <w:t>Орієнтовна тематика дослідження (за вибором здобувача)</w:t>
      </w:r>
    </w:p>
    <w:p w:rsidR="000E583E" w:rsidRDefault="001F4223">
      <w:pPr>
        <w:spacing w:after="160" w:line="288" w:lineRule="auto"/>
        <w:jc w:val="both"/>
      </w:pPr>
      <w:r>
        <w:rPr>
          <w:i/>
          <w:iCs/>
          <w:sz w:val="24"/>
          <w:szCs w:val="24"/>
        </w:rPr>
        <w:t>Семінар є універсальним для здобувачів різних спеціальностей факультету. Оберіть тему зі списку, що відповідає вашій спеціальності, або запропонуйте власну, погоджену з викладачем.</w:t>
      </w:r>
    </w:p>
    <w:p w:rsidR="000E583E" w:rsidRDefault="001F4223">
      <w:pPr>
        <w:spacing w:before="180" w:after="90"/>
      </w:pPr>
      <w:proofErr w:type="spellStart"/>
      <w:r>
        <w:rPr>
          <w:b/>
          <w:bCs/>
          <w:i/>
          <w:iCs/>
          <w:sz w:val="23"/>
          <w:szCs w:val="23"/>
        </w:rPr>
        <w:t>Агроінженерія</w:t>
      </w:r>
      <w:proofErr w:type="spellEnd"/>
      <w:r>
        <w:rPr>
          <w:b/>
          <w:bCs/>
          <w:i/>
          <w:iCs/>
          <w:sz w:val="23"/>
          <w:szCs w:val="23"/>
        </w:rPr>
        <w:t xml:space="preserve"> (208)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Обґрунтування параметрів робочих органів ґрунтообробних машин.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Підвищення ефективності технічного обслуговування сільськогосподарської техніки.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Енергозбереження в технологічних процесах рослинництва.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Автоматизація процесів точного землеробства.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Удосконалення машин для збирання врожаю зернових культур.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Обґрунтування технологічних параметрів машин для внесення добрив.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Дослідження надійності сільськогосподарської техніки в умовах експлуатації.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Оптимізація режимів роботи двигунів сільськогосподарської техніки.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Використання відновлюваних джерел енергії в аграрному виробництві.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Розробка систем моніторингу технічного стану сільськогосподарських машин.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Удосконалення технологій зберігання та первинної переробки сільськогосподарської продукції.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Автоматизовані системи керування технологічними процесами в АПК.</w:t>
      </w:r>
    </w:p>
    <w:p w:rsidR="000E583E" w:rsidRDefault="001F4223">
      <w:pPr>
        <w:spacing w:before="180" w:after="90"/>
      </w:pPr>
      <w:proofErr w:type="spellStart"/>
      <w:r>
        <w:rPr>
          <w:b/>
          <w:bCs/>
          <w:i/>
          <w:iCs/>
          <w:sz w:val="23"/>
          <w:szCs w:val="23"/>
        </w:rPr>
        <w:t>БАгр</w:t>
      </w:r>
      <w:proofErr w:type="spellEnd"/>
      <w:r>
        <w:rPr>
          <w:b/>
          <w:bCs/>
          <w:i/>
          <w:iCs/>
          <w:sz w:val="23"/>
          <w:szCs w:val="23"/>
        </w:rPr>
        <w:t xml:space="preserve"> — Агрономія (ґрунтознавство)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проблеми ґрунтотворного процесу і формування ґрунтового профілю.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проблеми генезису і закономірності поширення ґрунтових відмін.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Антропогенез як основний фактор змін властивостей ґрунтів.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Ноосферогенез</w:t>
      </w:r>
      <w:proofErr w:type="spellEnd"/>
      <w:r>
        <w:rPr>
          <w:sz w:val="24"/>
          <w:szCs w:val="24"/>
        </w:rPr>
        <w:t xml:space="preserve"> як основа екологічно безпечного землекористування.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 xml:space="preserve">Теоретичні і прикладні проблеми </w:t>
      </w:r>
      <w:proofErr w:type="spellStart"/>
      <w:r>
        <w:rPr>
          <w:sz w:val="24"/>
          <w:szCs w:val="24"/>
        </w:rPr>
        <w:t>велико-</w:t>
      </w:r>
      <w:proofErr w:type="spellEnd"/>
      <w:r>
        <w:rPr>
          <w:sz w:val="24"/>
          <w:szCs w:val="24"/>
        </w:rPr>
        <w:t xml:space="preserve"> і </w:t>
      </w:r>
      <w:proofErr w:type="spellStart"/>
      <w:r>
        <w:rPr>
          <w:sz w:val="24"/>
          <w:szCs w:val="24"/>
        </w:rPr>
        <w:t>дрібновимірного</w:t>
      </w:r>
      <w:proofErr w:type="spellEnd"/>
      <w:r>
        <w:rPr>
          <w:sz w:val="24"/>
          <w:szCs w:val="24"/>
        </w:rPr>
        <w:t xml:space="preserve"> обстеження.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й прикладні проблеми управління ґрунтотворним процесом. Культурне ґрунтоутворення.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Теоретичні і прикладні проблеми вивчення гумусу як інтегрального показника ґрунтової родючості.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Біохімічний механізм відтворення гумусу й саморегуляції ґрунтової родючості.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та прикладні проблеми регулювання окисно-відновних процесів, кислотності, вбирної здатності ґрунтів.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і прикладні проблеми регулювання агрофізичних властивостей ґрунтів.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й прикладні проблеми регулювання водних властивостей ґрунтів.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та прикладні проблеми відтворення родючості ґрунтів.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Агроґрунтознавче</w:t>
      </w:r>
      <w:proofErr w:type="spellEnd"/>
      <w:r>
        <w:rPr>
          <w:sz w:val="24"/>
          <w:szCs w:val="24"/>
        </w:rPr>
        <w:t xml:space="preserve"> обґрунтування землеробських законів оптимуму, мінімуму і максимуму.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Теоретичні і прикладні проблеми деградації в богарних, зрошувальних умовах.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Ерозія ґрунтів, причини її виникнення та розвитку.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Агроґрунтознавче</w:t>
      </w:r>
      <w:proofErr w:type="spellEnd"/>
      <w:r>
        <w:rPr>
          <w:sz w:val="24"/>
          <w:szCs w:val="24"/>
        </w:rPr>
        <w:t xml:space="preserve"> обґрунтування ґрунтозахисних систем землеробства.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Бонітування ґрунтів і якісна оцінка земель.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Ґрунтовий моніторинг.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proofErr w:type="spellStart"/>
      <w:r>
        <w:rPr>
          <w:sz w:val="24"/>
          <w:szCs w:val="24"/>
        </w:rPr>
        <w:t>Агроґрунтознавче</w:t>
      </w:r>
      <w:proofErr w:type="spellEnd"/>
      <w:r>
        <w:rPr>
          <w:sz w:val="24"/>
          <w:szCs w:val="24"/>
        </w:rPr>
        <w:t xml:space="preserve"> обґрунтування систем точного землеробства.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Математичне моделювання в агроґрунтознавстві та агрофізиці.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Прогнозування ґрунтових процесів і режимів, еволюції ґрунтів.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Стандартизація та метрологія в агроґрунтознавстві й агрофізиці.</w:t>
      </w:r>
    </w:p>
    <w:p w:rsidR="000E583E" w:rsidRDefault="001F4223">
      <w:pPr>
        <w:spacing w:before="180" w:after="90"/>
      </w:pPr>
      <w:proofErr w:type="spellStart"/>
      <w:r>
        <w:rPr>
          <w:b/>
          <w:bCs/>
          <w:i/>
          <w:iCs/>
          <w:sz w:val="23"/>
          <w:szCs w:val="23"/>
        </w:rPr>
        <w:t>Бтв</w:t>
      </w:r>
      <w:proofErr w:type="spellEnd"/>
      <w:r>
        <w:rPr>
          <w:b/>
          <w:bCs/>
          <w:i/>
          <w:iCs/>
          <w:sz w:val="23"/>
          <w:szCs w:val="23"/>
        </w:rPr>
        <w:t xml:space="preserve"> — Технологія виробництва і переробки продукції тваринництва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Вивчення ступеня реалізації генетичного потенціалу окремих порід великої рогатої худоби в західному регіоні України.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Технологія відтворення та вирощування об'єктів прісноводного рибництва і аквакультури.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Інноваційні напрямки підвищення трансформації поживних і біологічно активних речовин кормів у продукцію сільськогосподарських тварин.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Вплив аліментарних факторів на фізіолого-біохімічні та продуктивні показники медоносних бджіл (</w:t>
      </w:r>
      <w:proofErr w:type="spellStart"/>
      <w:r>
        <w:rPr>
          <w:sz w:val="24"/>
          <w:szCs w:val="24"/>
        </w:rPr>
        <w:t>Apis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mellifera</w:t>
      </w:r>
      <w:proofErr w:type="spellEnd"/>
      <w:r>
        <w:rPr>
          <w:sz w:val="24"/>
          <w:szCs w:val="24"/>
        </w:rPr>
        <w:t xml:space="preserve"> L.).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Розробка та удосконалення оптимальних технологій підвищення продуктивності дрібних тварин та птиці.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Експериментально-теоретичне обґрунтування виробництва високоякісної продукції вівчарства в умовах Прикарпаття.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Технології промислового виробництва свинини на товарних комплексах на основі нових об'ємно-планувальних рішень для різних кліматичних зон і рельєфних особливостей місцевості.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Застосування альтернативних джерел поживних та біологічно активних речовин у тваринництві і птахівництві.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Розробка оптимальної технології підвищення розщеплення та засвоєння поживних речовин.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Вплив аліментарних чинників на продуктивні показники та якість м'яса у курчат-бройлерів.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 xml:space="preserve">Обмін речовин, </w:t>
      </w:r>
      <w:proofErr w:type="spellStart"/>
      <w:r>
        <w:rPr>
          <w:sz w:val="24"/>
          <w:szCs w:val="24"/>
        </w:rPr>
        <w:t>морфолого-функціональний</w:t>
      </w:r>
      <w:proofErr w:type="spellEnd"/>
      <w:r>
        <w:rPr>
          <w:sz w:val="24"/>
          <w:szCs w:val="24"/>
        </w:rPr>
        <w:t xml:space="preserve"> стан внутрішніх органів та продуктивність хутрових звірів за використанням білкових замінників м'яса.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Вивчення продуктивних і відтворних якостей корів української чорно-рябої молочної породи залежно від типу конституції.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Продуктивні і відтворні якості корів-первісток симентальської породи різних виробничих типів.</w:t>
      </w:r>
    </w:p>
    <w:p w:rsidR="000E583E" w:rsidRDefault="001F4223">
      <w:pPr>
        <w:spacing w:before="180" w:after="90"/>
      </w:pPr>
      <w:r>
        <w:rPr>
          <w:b/>
          <w:bCs/>
          <w:i/>
          <w:iCs/>
          <w:sz w:val="23"/>
          <w:szCs w:val="23"/>
        </w:rPr>
        <w:t>БО, БА, БП — Облік і оподаткування / Економіка та підприємництво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Земельні ресурси підприємства та економічна ефективність їх використання.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Основні фонди підприємства і резерви підвищення ефективності їх використання.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Оборотні засоби підприємства і шляхи підвищення ефективності їх використання.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Оцінка економічної ефективності використання МТП і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Капітальні вкладення і шляхи підвищення ефективності їх використання.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Трудові ресурси підприємства і підвищення ефективності їх використання.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Продуктивність праці в підприємстві та резерви її зростання.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Оцінка сучасного стану кормової бази підприємства і шляхи її зміцнення.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Резерви зниження собівартості продукції рослинництва.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Собівартість продукції тваринництва та шляхи її зниження.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Економічна ефективність використання вантажного автотранспорту та резерви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виробництва зерна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виробництва технічних культур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виробництва картоплі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виробництва овочів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виробництва молока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вирощування молодняку великої рогатої худоби на м'ясо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вирощування свиней на м'ясо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Виробництво продукції птахівництва на промисловій основі та оцінка його ефективності.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Прибуток підприємства: суть, механізм формування та розподілу і резерви збільшення.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Аналіз економічної ефективності інфраструктури і шляхи її підвищення (на прикладі підприємств району).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економічної ефективності роботи промислових і допоміжних підприємств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Економічні засади функціонування селянських (фермерських) господарств.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Формування інвестиційних ресурсів сільськогосподарських підприємств.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Стратегія забезпечення ефективного розвитку аграрної та переробної сфер сільського господарства.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Формування і підвищення ефективності використання ресурсного потенціалу в сільськогосподарському підприємстві.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Удосконалення механізму інформаційно-консультаційного забезпечення в інфраструктурі бізнесу в сфері АПК.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Роль інтеграційних процесів у підвищенні ефективності виробництва і переробки сільськогосподарської продукції.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Оцінка інвестиційної привабливості сільськогосподарських підприємств та шляхи її покращення.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Підвищення економічної ефективності діяльності фермерських господарств.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Економічна оцінка результатів господарської діяльності сільськогосподарських підприємств.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Система мотивації праці в сільському господарстві та шляхи її удосконалення.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інвестиційних процесів у сільськогосподарському підприємстві.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Оцінка інвестиційної діяльності підприємства та проблеми інвестиційного управління.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Інвестування у відтворення основних фондів сільськогосподарського підприємства.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системи оплати праці у сільськогосподарському підприємстві та напрями її удосконалення.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процесів формування і ефективності використання трудових ресурсів у сільськогосподарському підприємстві.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Ринок праці та розробка стратегії формування продуктивної зайнятості населення у сільській місцевості регіону.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Особисті селянські господарства, їх роль, місце і значення в розвитку аграрного сектора економіки регіону.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Розробка економічної стратегії розвитку сільськогосподарського підприємства.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Оцінка конкурентоспроможності продукції сільськогосподарського підприємства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Головні напрямки удосконалення матеріально-технічної бази сільськогосподарського підприємства.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Основні напрямки прискорення обороту оборотних засобів у сільськогосподарському виробництві.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lastRenderedPageBreak/>
        <w:t>Конкурентоздатність фермерських підприємств у ринкових умовах та шляхи її підвищення.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Економічні проблеми ціноутворення та напрями їх вирішення у підприємстві.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Аналіз фінансового стану підприємства та розробка заходів щодо його поліпшення.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Господарський ризик, його оцінка на підприємстві та розробка системи заходів із страхування від ризику.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Економічна ефективність інноваційних процесів у сільськогосподарських підприємствах.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Інтенсифікація сільськогосподарського виробництва та шляхи підвищення її економічної ефективності.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Концентрація і спеціалізація сільськогосподарського виробництва та шляхи підвищення її економічної ефективності.</w:t>
      </w:r>
    </w:p>
    <w:p w:rsidR="000E583E" w:rsidRDefault="001F4223">
      <w:pPr>
        <w:pStyle w:val="a4"/>
        <w:numPr>
          <w:ilvl w:val="0"/>
          <w:numId w:val="4"/>
        </w:numPr>
        <w:spacing w:after="90" w:line="276" w:lineRule="auto"/>
        <w:jc w:val="both"/>
      </w:pPr>
      <w:r>
        <w:rPr>
          <w:sz w:val="24"/>
          <w:szCs w:val="24"/>
        </w:rPr>
        <w:t>Рентабельність виробництва сільськогосподарської продукції та резерви її підвищення.</w:t>
      </w:r>
    </w:p>
    <w:sectPr w:rsidR="000E583E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315B0"/>
    <w:multiLevelType w:val="hybridMultilevel"/>
    <w:tmpl w:val="4C0E2A96"/>
    <w:lvl w:ilvl="0" w:tplc="4B94C4A6">
      <w:start w:val="1"/>
      <w:numFmt w:val="decimal"/>
      <w:lvlText w:val="%1."/>
      <w:lvlJc w:val="left"/>
      <w:pPr>
        <w:ind w:left="420" w:hanging="260"/>
      </w:pPr>
    </w:lvl>
    <w:lvl w:ilvl="1" w:tplc="AB8A6AB8">
      <w:numFmt w:val="decimal"/>
      <w:lvlText w:val=""/>
      <w:lvlJc w:val="left"/>
    </w:lvl>
    <w:lvl w:ilvl="2" w:tplc="A9B286DA">
      <w:numFmt w:val="decimal"/>
      <w:lvlText w:val=""/>
      <w:lvlJc w:val="left"/>
    </w:lvl>
    <w:lvl w:ilvl="3" w:tplc="F4BEC988">
      <w:numFmt w:val="decimal"/>
      <w:lvlText w:val=""/>
      <w:lvlJc w:val="left"/>
    </w:lvl>
    <w:lvl w:ilvl="4" w:tplc="1B169A62">
      <w:numFmt w:val="decimal"/>
      <w:lvlText w:val=""/>
      <w:lvlJc w:val="left"/>
    </w:lvl>
    <w:lvl w:ilvl="5" w:tplc="1BD4FB76">
      <w:numFmt w:val="decimal"/>
      <w:lvlText w:val=""/>
      <w:lvlJc w:val="left"/>
    </w:lvl>
    <w:lvl w:ilvl="6" w:tplc="66543A68">
      <w:numFmt w:val="decimal"/>
      <w:lvlText w:val=""/>
      <w:lvlJc w:val="left"/>
    </w:lvl>
    <w:lvl w:ilvl="7" w:tplc="2BCCAEAC">
      <w:numFmt w:val="decimal"/>
      <w:lvlText w:val=""/>
      <w:lvlJc w:val="left"/>
    </w:lvl>
    <w:lvl w:ilvl="8" w:tplc="6E589C76">
      <w:numFmt w:val="decimal"/>
      <w:lvlText w:val=""/>
      <w:lvlJc w:val="left"/>
    </w:lvl>
  </w:abstractNum>
  <w:abstractNum w:abstractNumId="1">
    <w:nsid w:val="1E863F96"/>
    <w:multiLevelType w:val="hybridMultilevel"/>
    <w:tmpl w:val="1F126822"/>
    <w:lvl w:ilvl="0" w:tplc="5CEC3162">
      <w:start w:val="1"/>
      <w:numFmt w:val="bullet"/>
      <w:lvlText w:val="●"/>
      <w:lvlJc w:val="left"/>
      <w:pPr>
        <w:ind w:left="720" w:hanging="360"/>
      </w:pPr>
    </w:lvl>
    <w:lvl w:ilvl="1" w:tplc="E438BA22">
      <w:start w:val="1"/>
      <w:numFmt w:val="bullet"/>
      <w:lvlText w:val="○"/>
      <w:lvlJc w:val="left"/>
      <w:pPr>
        <w:ind w:left="1440" w:hanging="360"/>
      </w:pPr>
    </w:lvl>
    <w:lvl w:ilvl="2" w:tplc="278EFAD8">
      <w:start w:val="1"/>
      <w:numFmt w:val="bullet"/>
      <w:lvlText w:val="■"/>
      <w:lvlJc w:val="left"/>
      <w:pPr>
        <w:ind w:left="2160" w:hanging="360"/>
      </w:pPr>
    </w:lvl>
    <w:lvl w:ilvl="3" w:tplc="D834CE84">
      <w:start w:val="1"/>
      <w:numFmt w:val="bullet"/>
      <w:lvlText w:val="●"/>
      <w:lvlJc w:val="left"/>
      <w:pPr>
        <w:ind w:left="2880" w:hanging="360"/>
      </w:pPr>
    </w:lvl>
    <w:lvl w:ilvl="4" w:tplc="144AD9A8">
      <w:start w:val="1"/>
      <w:numFmt w:val="bullet"/>
      <w:lvlText w:val="○"/>
      <w:lvlJc w:val="left"/>
      <w:pPr>
        <w:ind w:left="3600" w:hanging="360"/>
      </w:pPr>
    </w:lvl>
    <w:lvl w:ilvl="5" w:tplc="B2749114">
      <w:start w:val="1"/>
      <w:numFmt w:val="bullet"/>
      <w:lvlText w:val="■"/>
      <w:lvlJc w:val="left"/>
      <w:pPr>
        <w:ind w:left="4320" w:hanging="360"/>
      </w:pPr>
    </w:lvl>
    <w:lvl w:ilvl="6" w:tplc="50240176">
      <w:start w:val="1"/>
      <w:numFmt w:val="bullet"/>
      <w:lvlText w:val="●"/>
      <w:lvlJc w:val="left"/>
      <w:pPr>
        <w:ind w:left="5040" w:hanging="360"/>
      </w:pPr>
    </w:lvl>
    <w:lvl w:ilvl="7" w:tplc="5BCC1B74">
      <w:start w:val="1"/>
      <w:numFmt w:val="bullet"/>
      <w:lvlText w:val="●"/>
      <w:lvlJc w:val="left"/>
      <w:pPr>
        <w:ind w:left="5760" w:hanging="360"/>
      </w:pPr>
    </w:lvl>
    <w:lvl w:ilvl="8" w:tplc="7F30DB16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2D780BF9"/>
    <w:multiLevelType w:val="hybridMultilevel"/>
    <w:tmpl w:val="174E5AA4"/>
    <w:lvl w:ilvl="0" w:tplc="D9B21C6A">
      <w:start w:val="1"/>
      <w:numFmt w:val="decimal"/>
      <w:lvlText w:val="%1."/>
      <w:lvlJc w:val="left"/>
      <w:pPr>
        <w:ind w:left="420" w:hanging="260"/>
      </w:pPr>
    </w:lvl>
    <w:lvl w:ilvl="1" w:tplc="7BEC8F3C">
      <w:numFmt w:val="decimal"/>
      <w:lvlText w:val=""/>
      <w:lvlJc w:val="left"/>
    </w:lvl>
    <w:lvl w:ilvl="2" w:tplc="54BABC16">
      <w:numFmt w:val="decimal"/>
      <w:lvlText w:val=""/>
      <w:lvlJc w:val="left"/>
    </w:lvl>
    <w:lvl w:ilvl="3" w:tplc="4CAE28E2">
      <w:numFmt w:val="decimal"/>
      <w:lvlText w:val=""/>
      <w:lvlJc w:val="left"/>
    </w:lvl>
    <w:lvl w:ilvl="4" w:tplc="EC089C92">
      <w:numFmt w:val="decimal"/>
      <w:lvlText w:val=""/>
      <w:lvlJc w:val="left"/>
    </w:lvl>
    <w:lvl w:ilvl="5" w:tplc="F912C872">
      <w:numFmt w:val="decimal"/>
      <w:lvlText w:val=""/>
      <w:lvlJc w:val="left"/>
    </w:lvl>
    <w:lvl w:ilvl="6" w:tplc="60086CA8">
      <w:numFmt w:val="decimal"/>
      <w:lvlText w:val=""/>
      <w:lvlJc w:val="left"/>
    </w:lvl>
    <w:lvl w:ilvl="7" w:tplc="FDF0A728">
      <w:numFmt w:val="decimal"/>
      <w:lvlText w:val=""/>
      <w:lvlJc w:val="left"/>
    </w:lvl>
    <w:lvl w:ilvl="8" w:tplc="5E46007E">
      <w:numFmt w:val="decimal"/>
      <w:lvlText w:val=""/>
      <w:lvlJc w:val="left"/>
    </w:lvl>
  </w:abstractNum>
  <w:abstractNum w:abstractNumId="3">
    <w:nsid w:val="314F682B"/>
    <w:multiLevelType w:val="hybridMultilevel"/>
    <w:tmpl w:val="FEBE5236"/>
    <w:lvl w:ilvl="0" w:tplc="4112A80E">
      <w:start w:val="1"/>
      <w:numFmt w:val="bullet"/>
      <w:lvlText w:val="•"/>
      <w:lvlJc w:val="left"/>
      <w:pPr>
        <w:ind w:left="420" w:hanging="240"/>
      </w:pPr>
    </w:lvl>
    <w:lvl w:ilvl="1" w:tplc="D56ABDCC">
      <w:numFmt w:val="decimal"/>
      <w:lvlText w:val=""/>
      <w:lvlJc w:val="left"/>
    </w:lvl>
    <w:lvl w:ilvl="2" w:tplc="DE5635F0">
      <w:numFmt w:val="decimal"/>
      <w:lvlText w:val=""/>
      <w:lvlJc w:val="left"/>
    </w:lvl>
    <w:lvl w:ilvl="3" w:tplc="80E2F112">
      <w:numFmt w:val="decimal"/>
      <w:lvlText w:val=""/>
      <w:lvlJc w:val="left"/>
    </w:lvl>
    <w:lvl w:ilvl="4" w:tplc="E1680804">
      <w:numFmt w:val="decimal"/>
      <w:lvlText w:val=""/>
      <w:lvlJc w:val="left"/>
    </w:lvl>
    <w:lvl w:ilvl="5" w:tplc="FA96CE08">
      <w:numFmt w:val="decimal"/>
      <w:lvlText w:val=""/>
      <w:lvlJc w:val="left"/>
    </w:lvl>
    <w:lvl w:ilvl="6" w:tplc="A8902AD4">
      <w:numFmt w:val="decimal"/>
      <w:lvlText w:val=""/>
      <w:lvlJc w:val="left"/>
    </w:lvl>
    <w:lvl w:ilvl="7" w:tplc="86166A32">
      <w:numFmt w:val="decimal"/>
      <w:lvlText w:val=""/>
      <w:lvlJc w:val="left"/>
    </w:lvl>
    <w:lvl w:ilvl="8" w:tplc="5D5AD296">
      <w:numFmt w:val="decimal"/>
      <w:lvlText w:val=""/>
      <w:lvlJc w:val="left"/>
    </w:lvl>
  </w:abstractNum>
  <w:abstractNum w:abstractNumId="4">
    <w:nsid w:val="6B0C7C47"/>
    <w:multiLevelType w:val="hybridMultilevel"/>
    <w:tmpl w:val="F25440FC"/>
    <w:lvl w:ilvl="0" w:tplc="7E8AE0B8">
      <w:start w:val="1"/>
      <w:numFmt w:val="decimal"/>
      <w:lvlText w:val="%1."/>
      <w:lvlJc w:val="left"/>
      <w:pPr>
        <w:ind w:left="420" w:hanging="260"/>
      </w:pPr>
    </w:lvl>
    <w:lvl w:ilvl="1" w:tplc="B3D463B8">
      <w:numFmt w:val="decimal"/>
      <w:lvlText w:val=""/>
      <w:lvlJc w:val="left"/>
    </w:lvl>
    <w:lvl w:ilvl="2" w:tplc="DE88B596">
      <w:numFmt w:val="decimal"/>
      <w:lvlText w:val=""/>
      <w:lvlJc w:val="left"/>
    </w:lvl>
    <w:lvl w:ilvl="3" w:tplc="AC467BDE">
      <w:numFmt w:val="decimal"/>
      <w:lvlText w:val=""/>
      <w:lvlJc w:val="left"/>
    </w:lvl>
    <w:lvl w:ilvl="4" w:tplc="5F0CD8F8">
      <w:numFmt w:val="decimal"/>
      <w:lvlText w:val=""/>
      <w:lvlJc w:val="left"/>
    </w:lvl>
    <w:lvl w:ilvl="5" w:tplc="4AD2DCBE">
      <w:numFmt w:val="decimal"/>
      <w:lvlText w:val=""/>
      <w:lvlJc w:val="left"/>
    </w:lvl>
    <w:lvl w:ilvl="6" w:tplc="0218CD6C">
      <w:numFmt w:val="decimal"/>
      <w:lvlText w:val=""/>
      <w:lvlJc w:val="left"/>
    </w:lvl>
    <w:lvl w:ilvl="7" w:tplc="1DBAD60C">
      <w:numFmt w:val="decimal"/>
      <w:lvlText w:val=""/>
      <w:lvlJc w:val="left"/>
    </w:lvl>
    <w:lvl w:ilvl="8" w:tplc="4B625ED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0E583E"/>
    <w:rsid w:val="000E583E"/>
    <w:rsid w:val="0014069C"/>
    <w:rsid w:val="001F4223"/>
    <w:rsid w:val="0040331E"/>
    <w:rsid w:val="00A3329F"/>
    <w:rsid w:val="00C4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6585</Words>
  <Characters>3754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5</cp:revision>
  <dcterms:created xsi:type="dcterms:W3CDTF">2026-08-05T12:30:00Z</dcterms:created>
  <dcterms:modified xsi:type="dcterms:W3CDTF">2026-08-06T11:07:00Z</dcterms:modified>
</cp:coreProperties>
</file>